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E" w:rsidRDefault="00C254BE" w:rsidP="008940B0">
      <w:pPr>
        <w:rPr>
          <w:rFonts w:ascii="Bookman Old Style" w:hAnsi="Bookman Old Style"/>
        </w:rPr>
      </w:pPr>
    </w:p>
    <w:p w:rsidR="00962029" w:rsidRDefault="00962029" w:rsidP="008940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Analysis of excerpt from “On Civil Disobedience” by Mohandas K. Gandhi</w:t>
      </w:r>
    </w:p>
    <w:p w:rsidR="008940B0" w:rsidRPr="008940B0" w:rsidRDefault="00962029" w:rsidP="008940B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</w:t>
      </w:r>
      <w:r>
        <w:rPr>
          <w:rFonts w:ascii="Bookman Old Style" w:hAnsi="Bookman Old Style"/>
          <w:u w:val="single"/>
        </w:rPr>
        <w:t>civil disobedience</w:t>
      </w:r>
      <w:r>
        <w:rPr>
          <w:rFonts w:ascii="Bookman Old Style" w:hAnsi="Bookman Old Style"/>
        </w:rPr>
        <w:t xml:space="preserve"> based on the excerpt by Gandhi </w:t>
      </w:r>
      <w:r>
        <w:rPr>
          <w:rFonts w:ascii="Bookman Old Style" w:hAnsi="Bookman Old Style"/>
          <w:i/>
        </w:rPr>
        <w:t>in complete sentences.</w:t>
      </w:r>
    </w:p>
    <w:p w:rsidR="008940B0" w:rsidRPr="008940B0" w:rsidRDefault="008940B0" w:rsidP="008940B0">
      <w:pPr>
        <w:pStyle w:val="ListParagraph"/>
        <w:rPr>
          <w:color w:val="FF0000"/>
        </w:rPr>
      </w:pPr>
      <w:r w:rsidRPr="008940B0">
        <w:rPr>
          <w:rFonts w:ascii="Bookman Old Style" w:hAnsi="Bookman Old Style"/>
          <w:color w:val="FF0000"/>
        </w:rPr>
        <w:t xml:space="preserve">Consider his words about </w:t>
      </w:r>
      <w:proofErr w:type="gramStart"/>
      <w:r w:rsidRPr="008940B0">
        <w:rPr>
          <w:color w:val="FF0000"/>
        </w:rPr>
        <w:t>satyagraha</w:t>
      </w:r>
      <w:proofErr w:type="gramEnd"/>
      <w:r w:rsidRPr="008940B0">
        <w:rPr>
          <w:color w:val="FF0000"/>
        </w:rPr>
        <w:t xml:space="preserve"> in paragraph 2.</w:t>
      </w:r>
    </w:p>
    <w:p w:rsidR="00C254BE" w:rsidRPr="008940B0" w:rsidRDefault="008940B0" w:rsidP="008940B0">
      <w:pPr>
        <w:pStyle w:val="ListParagraph"/>
        <w:rPr>
          <w:rFonts w:ascii="Bookman Old Style" w:hAnsi="Bookman Old Style"/>
          <w:color w:val="FF0000"/>
        </w:rPr>
      </w:pPr>
      <w:r w:rsidRPr="008940B0">
        <w:rPr>
          <w:color w:val="FF0000"/>
        </w:rPr>
        <w:t xml:space="preserve">Also, why does it work better? Consider the talk of the State in paragraph 2. </w:t>
      </w:r>
    </w:p>
    <w:p w:rsidR="00962029" w:rsidRPr="008940B0" w:rsidRDefault="00962029" w:rsidP="008940B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18"/>
        </w:rPr>
      </w:pPr>
      <w:r w:rsidRPr="008940B0">
        <w:rPr>
          <w:rFonts w:ascii="Bookman Old Style" w:hAnsi="Bookman Old Style"/>
          <w:sz w:val="18"/>
        </w:rPr>
        <w:t xml:space="preserve">Make the </w:t>
      </w:r>
      <w:r w:rsidRPr="008940B0">
        <w:rPr>
          <w:rFonts w:ascii="Bookman Old Style" w:hAnsi="Bookman Old Style"/>
          <w:sz w:val="18"/>
          <w:u w:val="single"/>
        </w:rPr>
        <w:t>rhetorical triangle</w:t>
      </w:r>
      <w:r w:rsidRPr="008940B0">
        <w:rPr>
          <w:rFonts w:ascii="Bookman Old Style" w:hAnsi="Bookman Old Style"/>
          <w:sz w:val="18"/>
        </w:rPr>
        <w:t xml:space="preserve"> (Audience, Speaker, and Subject).  Elaborate on each part of the triangle in a few sentences using </w:t>
      </w:r>
      <w:r w:rsidRPr="008940B0">
        <w:rPr>
          <w:rFonts w:ascii="Bookman Old Style" w:hAnsi="Bookman Old Style"/>
          <w:i/>
          <w:sz w:val="18"/>
        </w:rPr>
        <w:t>complete sentences</w:t>
      </w:r>
      <w:r w:rsidRPr="008940B0">
        <w:rPr>
          <w:rFonts w:ascii="Bookman Old Style" w:hAnsi="Bookman Old Style"/>
          <w:sz w:val="18"/>
        </w:rPr>
        <w:t xml:space="preserve">. </w:t>
      </w:r>
    </w:p>
    <w:p w:rsidR="008940B0" w:rsidRPr="008940B0" w:rsidRDefault="008940B0" w:rsidP="008940B0">
      <w:pPr>
        <w:spacing w:after="0"/>
        <w:ind w:firstLine="36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Audience – </w:t>
      </w:r>
      <w:r w:rsidRPr="008940B0">
        <w:rPr>
          <w:rFonts w:ascii="Bookman Old Style" w:hAnsi="Bookman Old Style"/>
          <w:color w:val="FF0000"/>
        </w:rPr>
        <w:t>Notice the shift in POV (1</w:t>
      </w:r>
      <w:r w:rsidRPr="008940B0">
        <w:rPr>
          <w:rFonts w:ascii="Bookman Old Style" w:hAnsi="Bookman Old Style"/>
          <w:color w:val="FF0000"/>
          <w:vertAlign w:val="superscript"/>
        </w:rPr>
        <w:t>st</w:t>
      </w:r>
      <w:r w:rsidRPr="008940B0">
        <w:rPr>
          <w:rFonts w:ascii="Bookman Old Style" w:hAnsi="Bookman Old Style"/>
          <w:color w:val="FF0000"/>
        </w:rPr>
        <w:t>, 2</w:t>
      </w:r>
      <w:r w:rsidRPr="008940B0">
        <w:rPr>
          <w:rFonts w:ascii="Bookman Old Style" w:hAnsi="Bookman Old Style"/>
          <w:color w:val="FF0000"/>
          <w:vertAlign w:val="superscript"/>
        </w:rPr>
        <w:t>nd</w:t>
      </w:r>
      <w:r w:rsidRPr="008940B0">
        <w:rPr>
          <w:rFonts w:ascii="Bookman Old Style" w:hAnsi="Bookman Old Style"/>
          <w:color w:val="FF0000"/>
        </w:rPr>
        <w:t>, or 3</w:t>
      </w:r>
      <w:r w:rsidRPr="008940B0">
        <w:rPr>
          <w:rFonts w:ascii="Bookman Old Style" w:hAnsi="Bookman Old Style"/>
          <w:color w:val="FF0000"/>
          <w:vertAlign w:val="superscript"/>
        </w:rPr>
        <w:t>rd</w:t>
      </w:r>
      <w:r w:rsidRPr="008940B0">
        <w:rPr>
          <w:rFonts w:ascii="Bookman Old Style" w:hAnsi="Bookman Old Style"/>
          <w:color w:val="FF0000"/>
        </w:rPr>
        <w:t>?)</w:t>
      </w:r>
    </w:p>
    <w:p w:rsidR="008940B0" w:rsidRDefault="008940B0" w:rsidP="008940B0">
      <w:pPr>
        <w:spacing w:after="0"/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Speaker – </w:t>
      </w:r>
      <w:r w:rsidRPr="008940B0">
        <w:rPr>
          <w:rFonts w:ascii="Bookman Old Style" w:hAnsi="Bookman Old Style"/>
          <w:color w:val="FF0000"/>
        </w:rPr>
        <w:t>Notice both the POV (1</w:t>
      </w:r>
      <w:r w:rsidRPr="008940B0">
        <w:rPr>
          <w:rFonts w:ascii="Bookman Old Style" w:hAnsi="Bookman Old Style"/>
          <w:color w:val="FF0000"/>
          <w:vertAlign w:val="superscript"/>
        </w:rPr>
        <w:t>st</w:t>
      </w:r>
      <w:r w:rsidRPr="008940B0">
        <w:rPr>
          <w:rFonts w:ascii="Bookman Old Style" w:hAnsi="Bookman Old Style"/>
          <w:color w:val="FF0000"/>
        </w:rPr>
        <w:t>, 2</w:t>
      </w:r>
      <w:r w:rsidRPr="008940B0">
        <w:rPr>
          <w:rFonts w:ascii="Bookman Old Style" w:hAnsi="Bookman Old Style"/>
          <w:color w:val="FF0000"/>
          <w:vertAlign w:val="superscript"/>
        </w:rPr>
        <w:t>nd</w:t>
      </w:r>
      <w:r w:rsidRPr="008940B0">
        <w:rPr>
          <w:rFonts w:ascii="Bookman Old Style" w:hAnsi="Bookman Old Style"/>
          <w:color w:val="FF0000"/>
        </w:rPr>
        <w:t>, and 3</w:t>
      </w:r>
      <w:r w:rsidRPr="008940B0">
        <w:rPr>
          <w:rFonts w:ascii="Bookman Old Style" w:hAnsi="Bookman Old Style"/>
          <w:color w:val="FF0000"/>
          <w:vertAlign w:val="superscript"/>
        </w:rPr>
        <w:t>rd</w:t>
      </w:r>
      <w:r w:rsidRPr="008940B0">
        <w:rPr>
          <w:rFonts w:ascii="Bookman Old Style" w:hAnsi="Bookman Old Style"/>
          <w:color w:val="FF0000"/>
        </w:rPr>
        <w:t>) and number (Singular vs. Plural).</w:t>
      </w:r>
    </w:p>
    <w:p w:rsidR="00C254BE" w:rsidRPr="00C254BE" w:rsidRDefault="008940B0" w:rsidP="008940B0">
      <w:pPr>
        <w:spacing w:after="0"/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 – </w:t>
      </w:r>
      <w:r w:rsidRPr="008940B0">
        <w:rPr>
          <w:rFonts w:ascii="Bookman Old Style" w:hAnsi="Bookman Old Style"/>
          <w:color w:val="FF0000"/>
        </w:rPr>
        <w:t>Go deeper than just civil disobedience.</w:t>
      </w:r>
    </w:p>
    <w:p w:rsidR="00962029" w:rsidRDefault="00962029" w:rsidP="008940B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Break down the argument of Gandhi:</w:t>
      </w:r>
      <w:r w:rsidR="008940B0">
        <w:rPr>
          <w:rFonts w:ascii="Bookman Old Style" w:hAnsi="Bookman Old Style"/>
        </w:rPr>
        <w:t xml:space="preserve"> </w:t>
      </w:r>
      <w:r w:rsidR="008940B0" w:rsidRPr="008940B0">
        <w:rPr>
          <w:rFonts w:ascii="Bookman Old Style" w:hAnsi="Bookman Old Style"/>
          <w:b/>
          <w:u w:val="single"/>
        </w:rPr>
        <w:t>HAVE QUOTES</w:t>
      </w:r>
    </w:p>
    <w:p w:rsidR="00962029" w:rsidRDefault="00962029" w:rsidP="008940B0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Claim</w:t>
      </w:r>
      <w:r w:rsidR="00C254BE">
        <w:rPr>
          <w:rFonts w:ascii="Bookman Old Style" w:hAnsi="Bookman Old Style"/>
        </w:rPr>
        <w:t xml:space="preserve">: </w:t>
      </w:r>
      <w:r w:rsidR="008940B0" w:rsidRPr="008940B0">
        <w:rPr>
          <w:rFonts w:ascii="Bookman Old Style" w:hAnsi="Bookman Old Style"/>
          <w:color w:val="FF0000"/>
        </w:rPr>
        <w:t xml:space="preserve">See both paragraphs 1 and 2. There are two parts to this argument. </w:t>
      </w:r>
    </w:p>
    <w:p w:rsidR="00962029" w:rsidRDefault="00962029" w:rsidP="008940B0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Evidence (3 pieces of evidence)</w:t>
      </w:r>
      <w:r w:rsidR="00C254BE">
        <w:rPr>
          <w:rFonts w:ascii="Bookman Old Style" w:hAnsi="Bookman Old Style"/>
        </w:rPr>
        <w:t>:</w:t>
      </w:r>
    </w:p>
    <w:p w:rsidR="00C254BE" w:rsidRPr="008940B0" w:rsidRDefault="00C254BE" w:rsidP="008940B0">
      <w:pPr>
        <w:pStyle w:val="ListParagraph"/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</w:t>
      </w:r>
      <w:r w:rsidR="008940B0" w:rsidRPr="008940B0">
        <w:rPr>
          <w:rFonts w:ascii="Bookman Old Style" w:hAnsi="Bookman Old Style"/>
          <w:color w:val="FF0000"/>
        </w:rPr>
        <w:t>Why does the issue in paragraph 1 not work?</w:t>
      </w:r>
    </w:p>
    <w:p w:rsidR="00C254BE" w:rsidRPr="008940B0" w:rsidRDefault="00C254BE" w:rsidP="008940B0">
      <w:pPr>
        <w:pStyle w:val="ListParagraph"/>
        <w:spacing w:after="0"/>
        <w:ind w:left="108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B. </w:t>
      </w:r>
      <w:r w:rsidR="008940B0" w:rsidRPr="008940B0">
        <w:rPr>
          <w:rFonts w:ascii="Bookman Old Style" w:hAnsi="Bookman Old Style"/>
          <w:color w:val="FF0000"/>
        </w:rPr>
        <w:t>What is the effect of the method in paragraph 1?</w:t>
      </w:r>
    </w:p>
    <w:p w:rsidR="00C254BE" w:rsidRPr="008940B0" w:rsidRDefault="00C254BE" w:rsidP="008940B0">
      <w:pPr>
        <w:pStyle w:val="ListParagraph"/>
        <w:spacing w:after="0"/>
        <w:ind w:left="108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C. </w:t>
      </w:r>
      <w:r w:rsidR="008940B0" w:rsidRPr="008940B0">
        <w:rPr>
          <w:rFonts w:ascii="Bookman Old Style" w:hAnsi="Bookman Old Style"/>
          <w:color w:val="FF0000"/>
        </w:rPr>
        <w:t xml:space="preserve">How/Why does </w:t>
      </w:r>
      <w:proofErr w:type="gramStart"/>
      <w:r w:rsidR="008940B0" w:rsidRPr="008940B0">
        <w:rPr>
          <w:color w:val="FF0000"/>
        </w:rPr>
        <w:t>satyagraha</w:t>
      </w:r>
      <w:proofErr w:type="gramEnd"/>
      <w:r w:rsidR="008940B0" w:rsidRPr="008940B0">
        <w:rPr>
          <w:color w:val="FF0000"/>
        </w:rPr>
        <w:t xml:space="preserve"> work? Consider talks of the State again. </w:t>
      </w:r>
    </w:p>
    <w:p w:rsidR="00962029" w:rsidRDefault="00962029" w:rsidP="008940B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Find at least one example of each of the three appeals (Logos, Ethos, and Pathos). Quote them and give an explanation.</w:t>
      </w:r>
      <w:r w:rsidR="00675902">
        <w:rPr>
          <w:rFonts w:ascii="Bookman Old Style" w:hAnsi="Bookman Old Style"/>
        </w:rPr>
        <w:t xml:space="preserve"> (Why is the quote an example of logos, pathos, </w:t>
      </w:r>
      <w:proofErr w:type="gramStart"/>
      <w:r w:rsidR="00675902">
        <w:rPr>
          <w:rFonts w:ascii="Bookman Old Style" w:hAnsi="Bookman Old Style"/>
        </w:rPr>
        <w:t>ethos</w:t>
      </w:r>
      <w:proofErr w:type="gramEnd"/>
      <w:r w:rsidR="00675902">
        <w:rPr>
          <w:rFonts w:ascii="Bookman Old Style" w:hAnsi="Bookman Old Style"/>
        </w:rPr>
        <w:t>?)</w:t>
      </w:r>
    </w:p>
    <w:p w:rsidR="008940B0" w:rsidRDefault="008940B0" w:rsidP="008940B0">
      <w:pPr>
        <w:spacing w:after="0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Logos – </w:t>
      </w:r>
      <w:r w:rsidRPr="008940B0">
        <w:rPr>
          <w:rFonts w:ascii="Bookman Old Style" w:hAnsi="Bookman Old Style"/>
          <w:color w:val="FF0000"/>
        </w:rPr>
        <w:t>Any reasoning you see?</w:t>
      </w:r>
    </w:p>
    <w:p w:rsidR="008940B0" w:rsidRDefault="008940B0" w:rsidP="008940B0">
      <w:pPr>
        <w:spacing w:after="0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Pathos – </w:t>
      </w:r>
      <w:r w:rsidRPr="008940B0">
        <w:rPr>
          <w:rFonts w:ascii="Bookman Old Style" w:hAnsi="Bookman Old Style"/>
          <w:color w:val="FF0000"/>
        </w:rPr>
        <w:t>Many examples but note the one near the bottom about scaffolds. How is that sentence extra compelling?</w:t>
      </w:r>
    </w:p>
    <w:p w:rsidR="00C254BE" w:rsidRPr="00C254BE" w:rsidRDefault="008940B0" w:rsidP="008940B0">
      <w:pPr>
        <w:spacing w:after="0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Ethos – </w:t>
      </w:r>
      <w:r w:rsidRPr="008940B0">
        <w:rPr>
          <w:rFonts w:ascii="Bookman Old Style" w:hAnsi="Bookman Old Style"/>
          <w:color w:val="FF0000"/>
        </w:rPr>
        <w:t>Notice the repetition of the phrases with “we”. Whose character does it build and why?</w:t>
      </w:r>
      <w:bookmarkStart w:id="0" w:name="_GoBack"/>
      <w:bookmarkEnd w:id="0"/>
    </w:p>
    <w:p w:rsidR="00962029" w:rsidRDefault="00962029" w:rsidP="008940B0">
      <w:pPr>
        <w:pStyle w:val="ListParagraph"/>
        <w:numPr>
          <w:ilvl w:val="0"/>
          <w:numId w:val="1"/>
        </w:num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Summarize which appeal is central to the argument and why.  </w:t>
      </w:r>
    </w:p>
    <w:p w:rsidR="008940B0" w:rsidRPr="008940B0" w:rsidRDefault="008940B0" w:rsidP="008940B0">
      <w:pPr>
        <w:spacing w:after="0"/>
        <w:rPr>
          <w:rFonts w:ascii="Bookman Old Style" w:hAnsi="Bookman Old Style"/>
          <w:color w:val="FF0000"/>
        </w:rPr>
      </w:pPr>
      <w:r w:rsidRPr="008940B0">
        <w:rPr>
          <w:rFonts w:ascii="Bookman Old Style" w:hAnsi="Bookman Old Style"/>
          <w:color w:val="FF0000"/>
        </w:rPr>
        <w:t>Opinion Based</w:t>
      </w:r>
    </w:p>
    <w:p w:rsidR="00962029" w:rsidRDefault="00962029" w:rsidP="00962029">
      <w:pPr>
        <w:pStyle w:val="ListParagraph"/>
        <w:ind w:left="1080"/>
        <w:rPr>
          <w:rFonts w:ascii="Bookman Old Style" w:hAnsi="Bookman Old Style"/>
        </w:rPr>
      </w:pPr>
    </w:p>
    <w:p w:rsidR="00623C8E" w:rsidRDefault="00623C8E" w:rsidP="00962029">
      <w:pPr>
        <w:pStyle w:val="ListParagraph"/>
        <w:ind w:left="1080"/>
        <w:rPr>
          <w:rFonts w:ascii="Bookman Old Style" w:hAnsi="Bookman Old Style"/>
        </w:rPr>
      </w:pPr>
    </w:p>
    <w:p w:rsidR="00623C8E" w:rsidRDefault="00623C8E" w:rsidP="00962029">
      <w:pPr>
        <w:pStyle w:val="ListParagraph"/>
        <w:ind w:left="1080"/>
        <w:rPr>
          <w:rFonts w:ascii="Bookman Old Style" w:hAnsi="Bookman Old Style"/>
        </w:rPr>
      </w:pPr>
    </w:p>
    <w:sectPr w:rsidR="00623C8E" w:rsidSect="00894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6F19"/>
    <w:multiLevelType w:val="hybridMultilevel"/>
    <w:tmpl w:val="AE4E93F8"/>
    <w:lvl w:ilvl="0" w:tplc="E3EEBD3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E723D"/>
    <w:multiLevelType w:val="hybridMultilevel"/>
    <w:tmpl w:val="C6CC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9"/>
    <w:rsid w:val="00143720"/>
    <w:rsid w:val="00340A65"/>
    <w:rsid w:val="00623C8E"/>
    <w:rsid w:val="00634FB2"/>
    <w:rsid w:val="00675902"/>
    <w:rsid w:val="007B40CE"/>
    <w:rsid w:val="008940B0"/>
    <w:rsid w:val="009219BB"/>
    <w:rsid w:val="00962029"/>
    <w:rsid w:val="00C254BE"/>
    <w:rsid w:val="00C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4963"/>
  <w15:docId w15:val="{87E4B1DF-A543-4950-9FF7-4B16594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2</cp:revision>
  <cp:lastPrinted>2014-12-17T12:26:00Z</cp:lastPrinted>
  <dcterms:created xsi:type="dcterms:W3CDTF">2017-11-28T22:39:00Z</dcterms:created>
  <dcterms:modified xsi:type="dcterms:W3CDTF">2017-11-28T22:39:00Z</dcterms:modified>
</cp:coreProperties>
</file>